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F502" w14:textId="1DB59ACF" w:rsidR="00597345" w:rsidRPr="00597345" w:rsidRDefault="00821131" w:rsidP="00597345">
      <w:pPr>
        <w:pStyle w:val="berschrift1"/>
        <w:shd w:val="clear" w:color="auto" w:fill="FFFFFF"/>
        <w:spacing w:before="0" w:beforeAutospacing="0" w:after="6" w:afterAutospacing="0"/>
        <w:rPr>
          <w:rFonts w:ascii="Theinhardt" w:hAnsi="Theinhardt" w:cs="Theinhardt"/>
          <w:b w:val="0"/>
          <w:bCs w:val="0"/>
          <w:color w:val="004682"/>
          <w:spacing w:val="3"/>
        </w:rPr>
      </w:pPr>
      <w:r>
        <w:rPr>
          <w:rFonts w:ascii="Theinhardt" w:hAnsi="Theinhardt" w:cs="Theinhardt"/>
          <w:b w:val="0"/>
          <w:bCs w:val="0"/>
          <w:color w:val="004682"/>
          <w:spacing w:val="3"/>
        </w:rPr>
        <w:t xml:space="preserve">A </w:t>
      </w:r>
      <w:proofErr w:type="spellStart"/>
      <w:r>
        <w:rPr>
          <w:rFonts w:ascii="Theinhardt" w:hAnsi="Theinhardt" w:cs="Theinhardt"/>
          <w:b w:val="0"/>
          <w:bCs w:val="0"/>
          <w:color w:val="004682"/>
          <w:spacing w:val="3"/>
        </w:rPr>
        <w:t>future</w:t>
      </w:r>
      <w:proofErr w:type="spellEnd"/>
      <w:r>
        <w:rPr>
          <w:rFonts w:ascii="Theinhardt" w:hAnsi="Theinhardt" w:cs="Theinhardt"/>
          <w:b w:val="0"/>
          <w:bCs w:val="0"/>
          <w:color w:val="004682"/>
          <w:spacing w:val="3"/>
        </w:rPr>
        <w:t xml:space="preserve"> </w:t>
      </w:r>
      <w:proofErr w:type="spellStart"/>
      <w:r>
        <w:rPr>
          <w:rFonts w:ascii="Theinhardt" w:hAnsi="Theinhardt" w:cs="Theinhardt"/>
          <w:b w:val="0"/>
          <w:bCs w:val="0"/>
          <w:color w:val="004682"/>
          <w:spacing w:val="3"/>
        </w:rPr>
        <w:t>proof</w:t>
      </w:r>
      <w:proofErr w:type="spellEnd"/>
      <w:r>
        <w:rPr>
          <w:rFonts w:ascii="Theinhardt" w:hAnsi="Theinhardt" w:cs="Theinhardt"/>
          <w:b w:val="0"/>
          <w:bCs w:val="0"/>
          <w:color w:val="004682"/>
          <w:spacing w:val="3"/>
        </w:rPr>
        <w:t xml:space="preserve"> project </w:t>
      </w:r>
      <w:proofErr w:type="spellStart"/>
      <w:r>
        <w:rPr>
          <w:rFonts w:ascii="Theinhardt" w:hAnsi="Theinhardt" w:cs="Theinhardt"/>
          <w:b w:val="0"/>
          <w:bCs w:val="0"/>
          <w:color w:val="004682"/>
          <w:spacing w:val="3"/>
        </w:rPr>
        <w:t>for</w:t>
      </w:r>
      <w:proofErr w:type="spellEnd"/>
      <w:r>
        <w:rPr>
          <w:rFonts w:ascii="Theinhardt" w:hAnsi="Theinhardt" w:cs="Theinhardt"/>
          <w:b w:val="0"/>
          <w:bCs w:val="0"/>
          <w:color w:val="004682"/>
          <w:spacing w:val="3"/>
        </w:rPr>
        <w:t xml:space="preserve"> TU Dresden: Modular pure2 </w:t>
      </w:r>
      <w:proofErr w:type="spellStart"/>
      <w:r>
        <w:rPr>
          <w:rFonts w:ascii="Theinhardt" w:hAnsi="Theinhardt" w:cs="Theinhardt"/>
          <w:b w:val="0"/>
          <w:bCs w:val="0"/>
          <w:color w:val="004682"/>
          <w:spacing w:val="3"/>
        </w:rPr>
        <w:t>isolator</w:t>
      </w:r>
      <w:proofErr w:type="spellEnd"/>
    </w:p>
    <w:p w14:paraId="6BCEE964" w14:textId="6F4FC39F" w:rsidR="00010C83" w:rsidRPr="00597345" w:rsidRDefault="00010C83" w:rsidP="00F316E7">
      <w:pPr>
        <w:shd w:val="clear" w:color="auto" w:fill="FFFFFF"/>
        <w:spacing w:after="6" w:line="240" w:lineRule="auto"/>
        <w:outlineLvl w:val="0"/>
      </w:pPr>
    </w:p>
    <w:p w14:paraId="721C8F2E" w14:textId="77777777" w:rsidR="00821131" w:rsidRPr="00821131" w:rsidRDefault="00821131" w:rsidP="005F64FA">
      <w:pPr>
        <w:pStyle w:val="StandardWeb"/>
        <w:shd w:val="clear" w:color="auto" w:fill="FFFFFF"/>
        <w:spacing w:before="0" w:beforeAutospacing="0" w:after="450" w:afterAutospacing="0"/>
        <w:rPr>
          <w:rFonts w:ascii="Theinhardt" w:hAnsi="Theinhardt" w:cs="Theinhardt"/>
          <w:color w:val="004682"/>
          <w:spacing w:val="6"/>
          <w:shd w:val="clear" w:color="auto" w:fill="FFFFFF"/>
        </w:rPr>
      </w:pPr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 xml:space="preserve">This </w:t>
      </w:r>
      <w:proofErr w:type="spellStart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>case</w:t>
      </w:r>
      <w:proofErr w:type="spellEnd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 xml:space="preserve"> </w:t>
      </w:r>
      <w:proofErr w:type="spellStart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>study</w:t>
      </w:r>
      <w:proofErr w:type="spellEnd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 xml:space="preserve"> </w:t>
      </w:r>
      <w:proofErr w:type="spellStart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>focuses</w:t>
      </w:r>
      <w:proofErr w:type="spellEnd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 xml:space="preserve"> on a </w:t>
      </w:r>
      <w:proofErr w:type="spellStart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>unique</w:t>
      </w:r>
      <w:proofErr w:type="spellEnd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 xml:space="preserve"> project </w:t>
      </w:r>
      <w:proofErr w:type="spellStart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>with</w:t>
      </w:r>
      <w:proofErr w:type="spellEnd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 xml:space="preserve"> </w:t>
      </w:r>
      <w:proofErr w:type="spellStart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>the</w:t>
      </w:r>
      <w:proofErr w:type="spellEnd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 xml:space="preserve"> University </w:t>
      </w:r>
      <w:proofErr w:type="spellStart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>of</w:t>
      </w:r>
      <w:proofErr w:type="spellEnd"/>
      <w:r w:rsidRPr="00821131">
        <w:rPr>
          <w:rFonts w:ascii="Theinhardt" w:hAnsi="Theinhardt" w:cs="Theinhardt"/>
          <w:color w:val="004682"/>
          <w:spacing w:val="6"/>
          <w:shd w:val="clear" w:color="auto" w:fill="FFFFFF"/>
        </w:rPr>
        <w:t xml:space="preserve"> Technology in Dresden</w:t>
      </w:r>
    </w:p>
    <w:p w14:paraId="38AF1991" w14:textId="3BB4A0F0" w:rsidR="00821131" w:rsidRPr="00821131" w:rsidRDefault="00821131" w:rsidP="00821131">
      <w:pPr>
        <w:pStyle w:val="nospacingabove"/>
        <w:shd w:val="clear" w:color="auto" w:fill="FFFFFF"/>
        <w:spacing w:before="0" w:beforeAutospacing="0" w:after="450" w:afterAutospacing="0"/>
        <w:rPr>
          <w:rFonts w:ascii="Theinhardt" w:hAnsi="Theinhardt" w:cs="Theinhardt"/>
          <w:color w:val="5F5F5F"/>
          <w:spacing w:val="6"/>
          <w:sz w:val="21"/>
          <w:szCs w:val="21"/>
        </w:rPr>
      </w:pP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Applications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in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field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of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gene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and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cell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therapy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require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careful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planning, reliable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implementation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, and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above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all,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trust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in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both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product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and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process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. The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long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-standing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collaboration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and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successful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projects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with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TU Dresden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strengthened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idea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of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jointly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developing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new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modular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solution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specifically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tailored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to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requirements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of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gene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and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cell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therapy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applications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.</w:t>
      </w:r>
    </w:p>
    <w:p w14:paraId="3074B1E8" w14:textId="77777777" w:rsidR="00821131" w:rsidRPr="00821131" w:rsidRDefault="00821131" w:rsidP="00821131">
      <w:pPr>
        <w:pStyle w:val="nospacingabove"/>
        <w:shd w:val="clear" w:color="auto" w:fill="FFFFFF"/>
        <w:spacing w:before="0" w:beforeAutospacing="0" w:after="0" w:afterAutospacing="0"/>
        <w:rPr>
          <w:rFonts w:ascii="Theinhardt" w:hAnsi="Theinhardt" w:cs="Theinhardt"/>
          <w:color w:val="5F5F5F"/>
          <w:spacing w:val="6"/>
          <w:sz w:val="21"/>
          <w:szCs w:val="21"/>
        </w:rPr>
      </w:pPr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This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pioneering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project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enables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seamless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integration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of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entire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aseptic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manufacturing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process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,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from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starting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materials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(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raw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materials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)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to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patient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application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,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within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single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system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,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while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simultaneously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reducing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risk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of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external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contamination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.</w:t>
      </w:r>
    </w:p>
    <w:p w14:paraId="415EC941" w14:textId="77777777" w:rsidR="00F316E7" w:rsidRPr="00597345" w:rsidRDefault="00F316E7" w:rsidP="00F316E7"/>
    <w:p w14:paraId="3C293153" w14:textId="32B1576B" w:rsidR="006A7E21" w:rsidRPr="00821131" w:rsidRDefault="00821131" w:rsidP="00821131">
      <w:pPr>
        <w:pStyle w:val="berschrift2"/>
        <w:shd w:val="clear" w:color="auto" w:fill="FFFFFF"/>
        <w:spacing w:before="0" w:after="630" w:line="570" w:lineRule="atLeast"/>
        <w:rPr>
          <w:rFonts w:ascii="Theinhardt" w:hAnsi="Theinhardt" w:cs="Theinhardt"/>
          <w:color w:val="004682"/>
          <w:spacing w:val="3"/>
          <w:sz w:val="24"/>
          <w:szCs w:val="24"/>
        </w:rPr>
      </w:pP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>Learn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 xml:space="preserve">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>more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 xml:space="preserve">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>about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 xml:space="preserve">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>this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 xml:space="preserve">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>collaboration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 xml:space="preserve"> in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>the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 xml:space="preserve">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>video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t>:</w:t>
      </w:r>
      <w:r>
        <w:rPr>
          <w:rFonts w:ascii="Theinhardt" w:hAnsi="Theinhardt" w:cs="Theinhardt"/>
          <w:b/>
          <w:bCs/>
          <w:color w:val="004682"/>
          <w:spacing w:val="3"/>
          <w:sz w:val="24"/>
          <w:szCs w:val="24"/>
        </w:rPr>
        <w:br/>
      </w:r>
      <w:r>
        <w:rPr>
          <w:rFonts w:ascii="Theinhardt" w:hAnsi="Theinhardt" w:cs="Theinhardt"/>
          <w:color w:val="auto"/>
          <w:spacing w:val="3"/>
          <w:sz w:val="21"/>
          <w:szCs w:val="21"/>
          <w:u w:val="single"/>
        </w:rPr>
        <w:t>Insert</w:t>
      </w:r>
      <w:r w:rsidRPr="00821131">
        <w:rPr>
          <w:rFonts w:ascii="Theinhardt" w:hAnsi="Theinhardt" w:cs="Theinhardt"/>
          <w:color w:val="auto"/>
          <w:spacing w:val="3"/>
          <w:sz w:val="21"/>
          <w:szCs w:val="21"/>
          <w:u w:val="single"/>
        </w:rPr>
        <w:t xml:space="preserve"> Vide</w:t>
      </w:r>
      <w:r>
        <w:rPr>
          <w:rFonts w:ascii="Theinhardt" w:hAnsi="Theinhardt" w:cs="Theinhardt"/>
          <w:color w:val="auto"/>
          <w:spacing w:val="3"/>
          <w:sz w:val="21"/>
          <w:szCs w:val="21"/>
          <w:u w:val="single"/>
        </w:rPr>
        <w:t>o</w:t>
      </w:r>
      <w:r w:rsidR="002776EA" w:rsidRPr="00C518C1">
        <w:rPr>
          <w:rFonts w:ascii="Theinhardt" w:hAnsi="Theinhardt" w:cs="Theinhardt"/>
          <w:color w:val="5F5F5F"/>
          <w:spacing w:val="6"/>
          <w:sz w:val="21"/>
          <w:szCs w:val="21"/>
        </w:rPr>
        <w:br/>
      </w:r>
    </w:p>
    <w:p w14:paraId="0502D8F5" w14:textId="77777777" w:rsidR="00821131" w:rsidRPr="00821131" w:rsidRDefault="00821131" w:rsidP="00821131">
      <w:pPr>
        <w:pStyle w:val="berschrift3"/>
        <w:shd w:val="clear" w:color="auto" w:fill="FFFFFF"/>
        <w:spacing w:before="0" w:after="150"/>
        <w:rPr>
          <w:rFonts w:ascii="Theinhardt" w:hAnsi="Theinhardt" w:cs="Theinhardt"/>
          <w:color w:val="004682"/>
          <w:spacing w:val="3"/>
          <w:sz w:val="21"/>
          <w:szCs w:val="21"/>
        </w:rPr>
      </w:pP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>Continuous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>transfer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>airlock</w:t>
      </w:r>
      <w:proofErr w:type="spellEnd"/>
    </w:p>
    <w:p w14:paraId="5949DC7C" w14:textId="77777777" w:rsidR="00821131" w:rsidRPr="00821131" w:rsidRDefault="00821131" w:rsidP="00821131">
      <w:pPr>
        <w:pStyle w:val="StandardWeb"/>
        <w:shd w:val="clear" w:color="auto" w:fill="FFFFFF"/>
        <w:spacing w:before="0" w:beforeAutospacing="0" w:after="450" w:afterAutospacing="0"/>
        <w:rPr>
          <w:rFonts w:ascii="Theinhardt" w:hAnsi="Theinhardt" w:cs="Theinhardt"/>
          <w:color w:val="5F5F5F"/>
          <w:spacing w:val="6"/>
          <w:sz w:val="21"/>
          <w:szCs w:val="21"/>
        </w:rPr>
      </w:pPr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The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newly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developed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transfer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airlocks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enable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safe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transfer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of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products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and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materials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from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one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working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area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to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next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.</w:t>
      </w:r>
    </w:p>
    <w:p w14:paraId="019C64B5" w14:textId="77777777" w:rsidR="00821131" w:rsidRPr="00821131" w:rsidRDefault="00821131" w:rsidP="00821131">
      <w:pPr>
        <w:pStyle w:val="berschrift3"/>
        <w:shd w:val="clear" w:color="auto" w:fill="FFFFFF"/>
        <w:spacing w:before="0" w:after="150"/>
        <w:rPr>
          <w:rFonts w:ascii="Theinhardt" w:hAnsi="Theinhardt" w:cs="Theinhardt"/>
          <w:color w:val="004682"/>
          <w:spacing w:val="3"/>
          <w:sz w:val="21"/>
          <w:szCs w:val="21"/>
        </w:rPr>
      </w:pPr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 xml:space="preserve">Integrated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>Incubator</w:t>
      </w:r>
      <w:proofErr w:type="spellEnd"/>
    </w:p>
    <w:p w14:paraId="67D01731" w14:textId="77777777" w:rsidR="00821131" w:rsidRPr="00821131" w:rsidRDefault="00821131" w:rsidP="00821131">
      <w:pPr>
        <w:pStyle w:val="StandardWeb"/>
        <w:shd w:val="clear" w:color="auto" w:fill="FFFFFF"/>
        <w:spacing w:before="0" w:beforeAutospacing="0" w:after="450" w:afterAutospacing="0"/>
        <w:rPr>
          <w:rFonts w:ascii="Theinhardt" w:hAnsi="Theinhardt" w:cs="Theinhardt"/>
          <w:color w:val="5F5F5F"/>
          <w:spacing w:val="6"/>
          <w:sz w:val="21"/>
          <w:szCs w:val="21"/>
        </w:rPr>
      </w:pP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When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working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with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cells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under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GMP-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compliant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conditions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,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integrating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an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incubator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into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working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area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is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essential. This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ensures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 smooth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aseptic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process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that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can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be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carried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out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entirely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within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single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system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.</w:t>
      </w:r>
    </w:p>
    <w:p w14:paraId="3516AFC9" w14:textId="77777777" w:rsidR="00821131" w:rsidRPr="00821131" w:rsidRDefault="00821131" w:rsidP="00821131">
      <w:pPr>
        <w:pStyle w:val="berschrift3"/>
        <w:shd w:val="clear" w:color="auto" w:fill="FFFFFF"/>
        <w:spacing w:before="0" w:after="150"/>
        <w:rPr>
          <w:rFonts w:ascii="Theinhardt" w:hAnsi="Theinhardt" w:cs="Theinhardt"/>
          <w:color w:val="004682"/>
          <w:spacing w:val="3"/>
          <w:sz w:val="21"/>
          <w:szCs w:val="21"/>
        </w:rPr>
      </w:pPr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 xml:space="preserve">Integrated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>cooling</w:t>
      </w:r>
      <w:proofErr w:type="spellEnd"/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b/>
          <w:bCs/>
          <w:color w:val="004682"/>
          <w:spacing w:val="3"/>
          <w:sz w:val="21"/>
          <w:szCs w:val="21"/>
        </w:rPr>
        <w:t>plate</w:t>
      </w:r>
      <w:proofErr w:type="spellEnd"/>
    </w:p>
    <w:p w14:paraId="4262700F" w14:textId="77777777" w:rsidR="00821131" w:rsidRPr="00821131" w:rsidRDefault="00821131" w:rsidP="00821131">
      <w:pPr>
        <w:pStyle w:val="nospacingabove"/>
        <w:shd w:val="clear" w:color="auto" w:fill="FFFFFF"/>
        <w:spacing w:before="0" w:beforeAutospacing="0" w:after="450" w:afterAutospacing="0"/>
        <w:rPr>
          <w:rFonts w:ascii="Theinhardt" w:hAnsi="Theinhardt" w:cs="Theinhardt"/>
          <w:color w:val="5F5F5F"/>
          <w:spacing w:val="6"/>
          <w:sz w:val="21"/>
          <w:szCs w:val="21"/>
        </w:rPr>
      </w:pPr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The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fill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-and-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finish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working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chamber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,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used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for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preparing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patient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application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, also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features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cooling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plate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integrated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into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work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surface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. This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allows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prepared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cell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or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gene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therapeutics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to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be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maintained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within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a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controlled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temperature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range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during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the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filling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 xml:space="preserve"> </w:t>
      </w:r>
      <w:proofErr w:type="spellStart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process</w:t>
      </w:r>
      <w:proofErr w:type="spellEnd"/>
      <w:r w:rsidRPr="00821131">
        <w:rPr>
          <w:rFonts w:ascii="Theinhardt" w:hAnsi="Theinhardt" w:cs="Theinhardt"/>
          <w:color w:val="5F5F5F"/>
          <w:spacing w:val="6"/>
          <w:sz w:val="21"/>
          <w:szCs w:val="21"/>
        </w:rPr>
        <w:t>.</w:t>
      </w:r>
    </w:p>
    <w:p w14:paraId="27EAF25E" w14:textId="30A9C951" w:rsidR="002776EA" w:rsidRDefault="002776EA" w:rsidP="002776EA">
      <w:pPr>
        <w:rPr>
          <w:lang w:val="en-US"/>
        </w:rPr>
      </w:pPr>
    </w:p>
    <w:p w14:paraId="20FE5EA2" w14:textId="0A883FFD" w:rsidR="002776EA" w:rsidRPr="002776EA" w:rsidRDefault="002776EA" w:rsidP="002776EA">
      <w:pPr>
        <w:rPr>
          <w:lang w:val="en-US"/>
        </w:rPr>
      </w:pPr>
    </w:p>
    <w:sectPr w:rsidR="002776EA" w:rsidRPr="002776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E2F0" w14:textId="77777777" w:rsidR="00EF41D6" w:rsidRDefault="00EF41D6" w:rsidP="00EF41D6">
      <w:pPr>
        <w:spacing w:after="0" w:line="240" w:lineRule="auto"/>
      </w:pPr>
      <w:r>
        <w:separator/>
      </w:r>
    </w:p>
  </w:endnote>
  <w:endnote w:type="continuationSeparator" w:id="0">
    <w:p w14:paraId="06A2E190" w14:textId="77777777" w:rsidR="00EF41D6" w:rsidRDefault="00EF41D6" w:rsidP="00EF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heinhardt">
    <w:panose1 w:val="02010504010101020102"/>
    <w:charset w:val="00"/>
    <w:family w:val="modern"/>
    <w:notTrueType/>
    <w:pitch w:val="variable"/>
    <w:sig w:usb0="A00000EF" w:usb1="4000206B" w:usb2="0000000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90FF" w14:textId="77777777" w:rsidR="00EF41D6" w:rsidRDefault="00EF41D6" w:rsidP="00EF41D6">
      <w:pPr>
        <w:spacing w:after="0" w:line="240" w:lineRule="auto"/>
      </w:pPr>
      <w:r>
        <w:separator/>
      </w:r>
    </w:p>
  </w:footnote>
  <w:footnote w:type="continuationSeparator" w:id="0">
    <w:p w14:paraId="43589DAB" w14:textId="77777777" w:rsidR="00EF41D6" w:rsidRDefault="00EF41D6" w:rsidP="00EF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5D2"/>
    <w:multiLevelType w:val="multilevel"/>
    <w:tmpl w:val="42AA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22C8"/>
    <w:multiLevelType w:val="multilevel"/>
    <w:tmpl w:val="17FC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628E0"/>
    <w:multiLevelType w:val="multilevel"/>
    <w:tmpl w:val="8D5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F45C7"/>
    <w:multiLevelType w:val="multilevel"/>
    <w:tmpl w:val="38F8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05628"/>
    <w:multiLevelType w:val="multilevel"/>
    <w:tmpl w:val="0A36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E05C1"/>
    <w:multiLevelType w:val="multilevel"/>
    <w:tmpl w:val="F066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C6376"/>
    <w:multiLevelType w:val="multilevel"/>
    <w:tmpl w:val="F7A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E57DF"/>
    <w:multiLevelType w:val="multilevel"/>
    <w:tmpl w:val="C048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345C4"/>
    <w:multiLevelType w:val="multilevel"/>
    <w:tmpl w:val="5A70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06D32"/>
    <w:multiLevelType w:val="multilevel"/>
    <w:tmpl w:val="D28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56CAD"/>
    <w:multiLevelType w:val="multilevel"/>
    <w:tmpl w:val="015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3457C"/>
    <w:multiLevelType w:val="multilevel"/>
    <w:tmpl w:val="B35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82932"/>
    <w:multiLevelType w:val="multilevel"/>
    <w:tmpl w:val="2016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60544"/>
    <w:multiLevelType w:val="multilevel"/>
    <w:tmpl w:val="76DA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7C3DB8"/>
    <w:multiLevelType w:val="multilevel"/>
    <w:tmpl w:val="E24C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D7153"/>
    <w:multiLevelType w:val="multilevel"/>
    <w:tmpl w:val="8F0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874121">
    <w:abstractNumId w:val="3"/>
  </w:num>
  <w:num w:numId="2" w16cid:durableId="1385787693">
    <w:abstractNumId w:val="1"/>
  </w:num>
  <w:num w:numId="3" w16cid:durableId="1151141370">
    <w:abstractNumId w:val="0"/>
  </w:num>
  <w:num w:numId="4" w16cid:durableId="1707293626">
    <w:abstractNumId w:val="12"/>
  </w:num>
  <w:num w:numId="5" w16cid:durableId="2023167742">
    <w:abstractNumId w:val="6"/>
  </w:num>
  <w:num w:numId="6" w16cid:durableId="2144619655">
    <w:abstractNumId w:val="13"/>
  </w:num>
  <w:num w:numId="7" w16cid:durableId="395201385">
    <w:abstractNumId w:val="14"/>
  </w:num>
  <w:num w:numId="8" w16cid:durableId="1858233887">
    <w:abstractNumId w:val="9"/>
  </w:num>
  <w:num w:numId="9" w16cid:durableId="572011160">
    <w:abstractNumId w:val="15"/>
  </w:num>
  <w:num w:numId="10" w16cid:durableId="340816285">
    <w:abstractNumId w:val="5"/>
  </w:num>
  <w:num w:numId="11" w16cid:durableId="1561592130">
    <w:abstractNumId w:val="2"/>
  </w:num>
  <w:num w:numId="12" w16cid:durableId="214973698">
    <w:abstractNumId w:val="10"/>
  </w:num>
  <w:num w:numId="13" w16cid:durableId="680740053">
    <w:abstractNumId w:val="8"/>
  </w:num>
  <w:num w:numId="14" w16cid:durableId="1328435378">
    <w:abstractNumId w:val="7"/>
  </w:num>
  <w:num w:numId="15" w16cid:durableId="110176874">
    <w:abstractNumId w:val="4"/>
  </w:num>
  <w:num w:numId="16" w16cid:durableId="712851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21"/>
    <w:rsid w:val="00010C83"/>
    <w:rsid w:val="002776EA"/>
    <w:rsid w:val="00597345"/>
    <w:rsid w:val="005F64FA"/>
    <w:rsid w:val="006A7E21"/>
    <w:rsid w:val="00821131"/>
    <w:rsid w:val="00C518C1"/>
    <w:rsid w:val="00EF41D6"/>
    <w:rsid w:val="00F3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78A2E78"/>
  <w15:chartTrackingRefBased/>
  <w15:docId w15:val="{FDC64330-716F-47A0-B266-DF053B28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A7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7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A7E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E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unhideWhenUsed/>
    <w:rsid w:val="006A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A7E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6A7E21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7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EF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1D6"/>
  </w:style>
  <w:style w:type="paragraph" w:styleId="Fuzeile">
    <w:name w:val="footer"/>
    <w:basedOn w:val="Standard"/>
    <w:link w:val="FuzeileZchn"/>
    <w:uiPriority w:val="99"/>
    <w:unhideWhenUsed/>
    <w:rsid w:val="00EF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1D6"/>
  </w:style>
  <w:style w:type="paragraph" w:customStyle="1" w:styleId="active">
    <w:name w:val="active"/>
    <w:basedOn w:val="Standard"/>
    <w:rsid w:val="00F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above">
    <w:name w:val="nospacingabove"/>
    <w:basedOn w:val="Standard"/>
    <w:rsid w:val="0082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3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1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Ferreira Sara</dc:creator>
  <cp:keywords/>
  <dc:description/>
  <cp:lastModifiedBy>Ferreira Sara</cp:lastModifiedBy>
  <cp:revision>5</cp:revision>
  <cp:lastPrinted>2025-01-27T13:38:00Z</cp:lastPrinted>
  <dcterms:created xsi:type="dcterms:W3CDTF">2025-01-27T13:40:00Z</dcterms:created>
  <dcterms:modified xsi:type="dcterms:W3CDTF">2026-04-07T08:33:00Z</dcterms:modified>
</cp:coreProperties>
</file>